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C8" w:rsidRPr="00BA76C7" w:rsidRDefault="00BA76C7" w:rsidP="002E50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76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МБОУ: </w:t>
      </w:r>
      <w:proofErr w:type="spellStart"/>
      <w:r w:rsidRPr="00BA76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Лагутнинская</w:t>
      </w:r>
      <w:proofErr w:type="spellEnd"/>
      <w:r w:rsidRPr="00BA76C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средняя общеобразовательная школа</w:t>
      </w:r>
    </w:p>
    <w:tbl>
      <w:tblPr>
        <w:tblW w:w="47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4656"/>
      </w:tblGrid>
      <w:tr w:rsidR="002E50C8" w:rsidRPr="00991DE8" w:rsidTr="00BA76C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E50C8" w:rsidRPr="00991DE8" w:rsidRDefault="002E50C8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  <w:p w:rsidR="002E50C8" w:rsidRPr="00991DE8" w:rsidRDefault="002E50C8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МБО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У: </w:t>
            </w:r>
            <w:proofErr w:type="spellStart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Лагутнинская</w:t>
            </w:r>
            <w:proofErr w:type="spellEnd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</w:p>
          <w:p w:rsidR="002E50C8" w:rsidRPr="00991DE8" w:rsidRDefault="002E50C8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BA76C7"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марта</w:t>
            </w: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№ 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</w:t>
            </w:r>
          </w:p>
        </w:tc>
        <w:tc>
          <w:tcPr>
            <w:tcW w:w="46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E50C8" w:rsidRPr="00991DE8" w:rsidRDefault="00781B36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иректор МБО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У: </w:t>
            </w:r>
            <w:proofErr w:type="spellStart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Лагутнинская</w:t>
            </w:r>
            <w:proofErr w:type="spellEnd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</w:p>
          <w:p w:rsidR="002E50C8" w:rsidRPr="00991DE8" w:rsidRDefault="00781B36" w:rsidP="00BA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</w:t>
            </w:r>
            <w:r w:rsidR="00BA76C7"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2E50C8" w:rsidRPr="00991DE8" w:rsidRDefault="00991DE8" w:rsidP="00BA76C7">
            <w:pPr>
              <w:spacing w:after="0" w:line="240" w:lineRule="auto"/>
              <w:ind w:right="-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105</w:t>
            </w:r>
            <w:r w:rsidR="000E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апреля</w:t>
            </w:r>
            <w:r w:rsidR="002E50C8"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22 </w:t>
            </w:r>
            <w:r w:rsidR="002E50C8"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A76C7"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76C7" w:rsidRPr="00991DE8" w:rsidRDefault="00BA76C7" w:rsidP="002E50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2E50C8" w:rsidRPr="00991DE8" w:rsidRDefault="002E50C8" w:rsidP="00BA76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D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 о результатах самообследования</w:t>
      </w:r>
    </w:p>
    <w:p w:rsidR="00BA76C7" w:rsidRPr="00991DE8" w:rsidRDefault="002E50C8" w:rsidP="00B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991DE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</w:t>
      </w:r>
      <w:r w:rsidR="00BA76C7" w:rsidRPr="00991DE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: </w:t>
      </w:r>
    </w:p>
    <w:p w:rsidR="002E50C8" w:rsidRPr="00991DE8" w:rsidRDefault="00BA76C7" w:rsidP="00B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proofErr w:type="spellStart"/>
      <w:r w:rsidRPr="00991DE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Лагутнинской</w:t>
      </w:r>
      <w:proofErr w:type="spellEnd"/>
      <w:r w:rsidRPr="00991DE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 средней общеобразовательной школы</w:t>
      </w:r>
    </w:p>
    <w:p w:rsidR="00991DE8" w:rsidRPr="00991DE8" w:rsidRDefault="00991DE8" w:rsidP="00B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DE8" w:rsidRPr="00991DE8" w:rsidRDefault="00991DE8" w:rsidP="00B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2021 год</w:t>
      </w:r>
    </w:p>
    <w:p w:rsidR="002E50C8" w:rsidRPr="00991DE8" w:rsidRDefault="002E50C8" w:rsidP="00BA7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D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 об образовательной организации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039"/>
      </w:tblGrid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Муниципальное бюджетное общеобразовательное учреждение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: </w:t>
            </w:r>
            <w:proofErr w:type="spellStart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Лагутнинская</w:t>
            </w:r>
            <w:proofErr w:type="spellEnd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средняя общеобразовательная школа 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(МБОУ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: </w:t>
            </w:r>
            <w:proofErr w:type="spellStart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Лагутнинская</w:t>
            </w:r>
            <w:proofErr w:type="spellEnd"/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СОШ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)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BA76C7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Ольга Васильевна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BA76C7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347343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Ростовская область, </w:t>
            </w:r>
            <w:proofErr w:type="spellStart"/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Волгодонской</w:t>
            </w:r>
            <w:proofErr w:type="spellEnd"/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район, х. </w:t>
            </w:r>
            <w:proofErr w:type="spellStart"/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Лагутники</w:t>
            </w:r>
            <w:proofErr w:type="spellEnd"/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пер. Школьный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д. 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24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(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98394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) </w:t>
            </w:r>
            <w:r w:rsidR="00BA76C7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7-21-50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BA76C7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lsoh</w:t>
            </w:r>
            <w:r w:rsidR="00991DE8" w:rsidRPr="00991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@list.ru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991DE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Отдел образования </w:t>
            </w:r>
            <w:proofErr w:type="gramStart"/>
            <w:r w:rsidRPr="00991DE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администрации  </w:t>
            </w:r>
            <w:proofErr w:type="spellStart"/>
            <w:r w:rsidRPr="00991DE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Волгодонского</w:t>
            </w:r>
            <w:proofErr w:type="spellEnd"/>
            <w:proofErr w:type="gramEnd"/>
            <w:r w:rsidRPr="00991DE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района Ростовской области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991DE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 xml:space="preserve">01 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сентября 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val="en-US" w:eastAsia="ru-RU"/>
              </w:rPr>
              <w:t>9</w:t>
            </w:r>
            <w:r w:rsidR="002E50C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991DE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hAnsi="Times New Roman" w:cs="Times New Roman"/>
                <w:sz w:val="24"/>
                <w:szCs w:val="24"/>
              </w:rPr>
              <w:t xml:space="preserve">от 12.09.2011 № 1622, серия </w:t>
            </w:r>
            <w:proofErr w:type="gramStart"/>
            <w:r w:rsidRPr="00991DE8">
              <w:rPr>
                <w:rFonts w:ascii="Times New Roman" w:hAnsi="Times New Roman" w:cs="Times New Roman"/>
                <w:sz w:val="24"/>
                <w:szCs w:val="24"/>
              </w:rPr>
              <w:t>61  №</w:t>
            </w:r>
            <w:proofErr w:type="gramEnd"/>
            <w:r w:rsidRPr="00991DE8">
              <w:rPr>
                <w:rFonts w:ascii="Times New Roman" w:hAnsi="Times New Roman" w:cs="Times New Roman"/>
                <w:sz w:val="24"/>
                <w:szCs w:val="24"/>
              </w:rPr>
              <w:t xml:space="preserve"> 000645</w:t>
            </w:r>
          </w:p>
        </w:tc>
      </w:tr>
      <w:tr w:rsidR="002E50C8" w:rsidRPr="00991DE8" w:rsidTr="002E50C8">
        <w:trPr>
          <w:jc w:val="center"/>
        </w:trPr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991DE8" w:rsidRDefault="002E50C8" w:rsidP="002E50C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 15.04.201</w:t>
            </w:r>
            <w:r w:rsidR="00991DE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 </w:t>
            </w:r>
            <w:r w:rsidR="00991DE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1664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серия О</w:t>
            </w:r>
            <w:r w:rsidR="00991DE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№ 0</w:t>
            </w:r>
            <w:r w:rsidR="00991DE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25668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 срок действия: до 15 апреля 202</w:t>
            </w:r>
            <w:r w:rsidR="00991DE8"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991DE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года</w:t>
            </w:r>
          </w:p>
        </w:tc>
      </w:tr>
    </w:tbl>
    <w:p w:rsidR="00782CBB" w:rsidRDefault="00782CBB" w:rsidP="00782CB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              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МБО</w:t>
      </w:r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У: </w:t>
      </w:r>
      <w:proofErr w:type="spellStart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Лагутнинская</w:t>
      </w:r>
      <w:proofErr w:type="spellEnd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СОШ</w:t>
      </w: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 (далее — Школа) расположена в </w:t>
      </w:r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хуторе </w:t>
      </w:r>
      <w:proofErr w:type="spellStart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Лагутники</w:t>
      </w:r>
      <w:proofErr w:type="spellEnd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на территории </w:t>
      </w:r>
      <w:proofErr w:type="spellStart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Волгодонского</w:t>
      </w:r>
      <w:proofErr w:type="spellEnd"/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района</w:t>
      </w: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 Большинство семей обучающихся проживают в </w:t>
      </w:r>
      <w:r w:rsidR="00991DE8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частных </w:t>
      </w: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домах: 81 процент — рядом со Школой, 19 процентов — в близлежащих поселках</w:t>
      </w:r>
      <w:r w:rsidR="00782CBB"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и хуторах</w:t>
      </w: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детей.</w:t>
      </w:r>
    </w:p>
    <w:p w:rsidR="002E50C8" w:rsidRPr="00782CBB" w:rsidRDefault="002E50C8" w:rsidP="00782C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2E50C8" w:rsidRPr="00782CBB" w:rsidRDefault="002E50C8" w:rsidP="00782C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5" w:anchor="/document/99/902389617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Pr="0078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программами. локальными нормативными актами Школы.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6" w:anchor="/document/99/566085656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 2.4.3648-20</w:t>
        </w:r>
      </w:hyperlink>
      <w:r w:rsidRPr="00782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7" w:anchor="/document/99/573500115/ZAP2EI83I9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</w:t>
      </w: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 </w:t>
      </w:r>
      <w:hyperlink r:id="rId8" w:anchor="/document/99/902180656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НОО</w:t>
        </w:r>
      </w:hyperlink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5–9-х классов — на 5-летний нормативный срок освоения основной образовательной программы основного общего образования (реализация </w:t>
      </w:r>
      <w:hyperlink r:id="rId9" w:anchor="/document/99/902254916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ООО</w:t>
        </w:r>
      </w:hyperlink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10–11-х классов — на 2-летний нормативный срок освоения образовательной программы среднего общего образования (реализация </w:t>
      </w:r>
      <w:hyperlink r:id="rId10" w:anchor="/document/99/902350579/" w:history="1">
        <w:r w:rsidRPr="00782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СОО</w:t>
        </w:r>
      </w:hyperlink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2021 году в результате введения ограничительных мер в связи с распространением </w:t>
      </w:r>
      <w:proofErr w:type="spellStart"/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часть образовательных программ в 2020/2021 учебных годах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ресурсы, в частности, </w:t>
      </w:r>
      <w:r w:rsidRPr="003A1F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платформа «Онлайн-образование», Российская</w:t>
      </w:r>
      <w:r w:rsidRPr="00782CB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электронная школа</w:t>
      </w:r>
      <w:r w:rsidRPr="00782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0C8" w:rsidRPr="00782CBB" w:rsidRDefault="002E50C8" w:rsidP="00782CB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основного и среднего уровня общего образования.</w:t>
      </w:r>
    </w:p>
    <w:p w:rsidR="002E50C8" w:rsidRPr="00782CBB" w:rsidRDefault="002E50C8" w:rsidP="00782C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C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2E50C8" w:rsidRPr="00D676A1" w:rsidRDefault="002E50C8" w:rsidP="003A1F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поддерживает ученическое самоуправление — как на уровне Школы, так и на уровне классных сообществ;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организует для школьников экскурсии, экспедиции, походы и реализует их воспитательный потенциал;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профориентационную работу со школьниками;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развивает предметно-эстетическую среду Школы и реализует ее воспитательные возможности;</w:t>
      </w:r>
    </w:p>
    <w:p w:rsidR="002E50C8" w:rsidRPr="00D676A1" w:rsidRDefault="002E50C8" w:rsidP="00D6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2E50C8" w:rsidRPr="00D676A1" w:rsidRDefault="002E50C8" w:rsidP="003A1F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4 месяца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Pr="00D676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2</w:t>
      </w:r>
      <w:r w:rsidR="00782CBB" w:rsidRPr="00D676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2</w:t>
      </w:r>
      <w:r w:rsidRPr="00D676A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.12.2021</w:t>
      </w: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Вместе с тем, родители высказали пожелания </w:t>
      </w: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22/23</w:t>
      </w: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782CBB" w:rsidRPr="00064AA5" w:rsidRDefault="002E50C8" w:rsidP="003A1F5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соответствии с планами воспитательной работы для учеников и родителей были организованы</w:t>
      </w:r>
      <w:r w:rsid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2CBB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радиционные общешкольные мероприятия: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Праздник «Первого звонка «Звени, звонок все громче, все сильней»- торжественная линейка, посвященная Дню Знаний.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Урок Знаний, урок Мира.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Тематические уроки, посвященные памятным датам российской истории и культуры</w:t>
      </w:r>
    </w:p>
    <w:p w:rsidR="00782CBB" w:rsidRPr="00D676A1" w:rsidRDefault="00782CBB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Неделя безопасности ПДД. Инструктаж по ТБ «Дорога в школу и домой. ПДД. Знай и соблюдай ПДД». Конкурс стенгазет «В стране дорожных знаков».</w:t>
      </w:r>
      <w:r w:rsid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«Посвящение первоклассников в пешеходы»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Выборы актива в подразделения </w:t>
      </w:r>
      <w:r w:rsidR="000E0923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«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патриот» </w:t>
      </w:r>
      <w:r w:rsidR="000E0923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актива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Операция «Уголок» (проверка классных уголков, их функционирование)</w:t>
      </w:r>
    </w:p>
    <w:p w:rsidR="00782CBB" w:rsidRPr="00D676A1" w:rsidRDefault="00D676A1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2CBB"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учителя. День самоуправления.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CBB"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 стенных газет: </w:t>
      </w:r>
      <w:r w:rsidR="000E0923"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</w:t>
      </w:r>
      <w:r w:rsidR="00782CBB"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- вам от души спасибо…»;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поделок «</w:t>
      </w:r>
      <w:r w:rsid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 осеннего леса»</w:t>
      </w:r>
      <w:r w:rsid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«Осенние мотивы»;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Праздник осени «Осенний вернисаж»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 «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Забота», в рамках празднования Дня пожилого человека, проведение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жизнь дана на добрые дела". Шефская помощь.</w:t>
      </w:r>
    </w:p>
    <w:p w:rsidR="00782CBB" w:rsidRPr="00D676A1" w:rsidRDefault="00782CBB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Классный час «День народного единства»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Праздник -«Народов дружная семья»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День матери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- конкурс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</w:t>
      </w:r>
    </w:p>
    <w:p w:rsidR="00782CBB" w:rsidRPr="00D676A1" w:rsidRDefault="00782CBB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Международный день отказа от курения «Не курил бы с детства дядя, был бы сильный и большой» - выступление агитбригад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Путешествие в новогоднюю сказку. Дискотека «Новогоднее шоу». Конкурс украшения кабинетов.  Конкурс новогодних открыток. Конкурс новогодних масок КТД «большая разница»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Конституции РФ Интеллектуальная игра «Главная книга страны»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2CBB" w:rsidRPr="00D676A1" w:rsidRDefault="00782CBB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Зимние игры. «Зима пришла, нам веселье принесла!»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Всемирный день борьбы со СПИДом.</w:t>
      </w:r>
    </w:p>
    <w:p w:rsidR="00782CBB" w:rsidRPr="00D676A1" w:rsidRDefault="00782CBB" w:rsidP="003A1F5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Общешкольный конкурс рисунков и творческих работ «Внимание, дорога!»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«Служу Отечеству»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Праздничное поздравление «Жить – Отчизне служить»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Спортивные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«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Казачьему роду нет переводу»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Веселая Масленица «Солнышко красно, гори, гори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ясно.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Международный женский день праздничная </w:t>
      </w:r>
      <w:r w:rsidR="00D676A1"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 Конкурс</w:t>
      </w: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«Сударушка»</w:t>
      </w:r>
    </w:p>
    <w:p w:rsidR="00782CBB" w:rsidRPr="00064AA5" w:rsidRDefault="00782CBB" w:rsidP="00782CBB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этап конкурса «Живая классика»</w:t>
      </w:r>
    </w:p>
    <w:p w:rsidR="00D676A1" w:rsidRDefault="00D676A1" w:rsidP="00D676A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6A1" w:rsidRPr="00064AA5" w:rsidRDefault="00D676A1" w:rsidP="00D676A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0C8" w:rsidRDefault="002E50C8" w:rsidP="00D676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2E50C8" w:rsidRPr="00D676A1" w:rsidRDefault="002E50C8" w:rsidP="002E50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2E50C8" w:rsidRPr="00D676A1" w:rsidRDefault="002E50C8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естественнонаучное;</w:t>
      </w:r>
    </w:p>
    <w:p w:rsidR="002E50C8" w:rsidRPr="00D676A1" w:rsidRDefault="002E50C8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техническое;</w:t>
      </w:r>
    </w:p>
    <w:p w:rsidR="002E50C8" w:rsidRPr="00D676A1" w:rsidRDefault="002E50C8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художественное;</w:t>
      </w:r>
    </w:p>
    <w:p w:rsidR="002E50C8" w:rsidRPr="00D676A1" w:rsidRDefault="002E50C8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физкультурно-спортивное;</w:t>
      </w:r>
    </w:p>
    <w:p w:rsidR="00D676A1" w:rsidRPr="00D676A1" w:rsidRDefault="00D676A1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социально-педагогическое;</w:t>
      </w:r>
    </w:p>
    <w:p w:rsidR="002E50C8" w:rsidRPr="00D676A1" w:rsidRDefault="002E50C8" w:rsidP="002E50C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76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туристско-краеведческое</w:t>
      </w:r>
      <w:r w:rsidRPr="00D676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676A1" w:rsidRPr="00D676A1" w:rsidRDefault="00D676A1" w:rsidP="00D676A1">
      <w:pPr>
        <w:pStyle w:val="a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112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51"/>
        <w:gridCol w:w="850"/>
        <w:gridCol w:w="1134"/>
        <w:gridCol w:w="851"/>
        <w:gridCol w:w="992"/>
        <w:gridCol w:w="850"/>
        <w:gridCol w:w="1134"/>
        <w:gridCol w:w="709"/>
        <w:gridCol w:w="992"/>
        <w:gridCol w:w="775"/>
      </w:tblGrid>
      <w:tr w:rsidR="00D676A1" w:rsidRPr="00B25B44" w:rsidTr="00D676A1">
        <w:trPr>
          <w:trHeight w:val="720"/>
        </w:trPr>
        <w:tc>
          <w:tcPr>
            <w:tcW w:w="11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A1" w:rsidRPr="00B25B44" w:rsidRDefault="00D676A1" w:rsidP="00D67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Направления дополнительных общеобразовательных программ, реализуемых на базе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ы</w:t>
            </w:r>
          </w:p>
        </w:tc>
      </w:tr>
      <w:tr w:rsidR="00D676A1" w:rsidRPr="00B25B44" w:rsidTr="00D676A1">
        <w:trPr>
          <w:trHeight w:val="10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A1" w:rsidRPr="00D676A1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</w:t>
            </w:r>
            <w:r w:rsidR="003A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67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портивное</w:t>
            </w:r>
          </w:p>
        </w:tc>
      </w:tr>
      <w:tr w:rsidR="00D676A1" w:rsidRPr="00B25B44" w:rsidTr="003A1F5E">
        <w:trPr>
          <w:trHeight w:val="22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детей, обучающихся по дополнительной общеобразовательной программе, 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6A1" w:rsidRPr="003A1F5E" w:rsidRDefault="00D676A1" w:rsidP="003A1F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1F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групп данной направленности, ед.</w:t>
            </w:r>
          </w:p>
        </w:tc>
      </w:tr>
      <w:tr w:rsidR="00D676A1" w:rsidRPr="00B25B44" w:rsidTr="003A1F5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6A1" w:rsidRPr="00B25B44" w:rsidRDefault="00D676A1" w:rsidP="003A1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B4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</w:tbl>
    <w:p w:rsidR="002E50C8" w:rsidRPr="000E0923" w:rsidRDefault="002E50C8" w:rsidP="003A1F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0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второй половине 2020/2021 учебного года и в первой половине 2021/2022 учебного года пришлось периодически проводить дистанционные занятия по программам дополнительного образования. Учет родительского мнения показал, что </w:t>
      </w:r>
      <w:r w:rsidRPr="000E09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почти половина родителей (законных представителей) обучающихся не удовлетворены подобным форматом занятий по дополнительному образованию</w:t>
      </w:r>
      <w:r w:rsidRPr="000E0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50C8" w:rsidRPr="000E0923" w:rsidRDefault="002E50C8" w:rsidP="003A1F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0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данных по посещению детьми занятий дополнительного образования показывает </w:t>
      </w:r>
      <w:r w:rsidRPr="000E09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снижение показателя по охвату в связи с переходом на дистанционный режим, особенно по программам технической и физкультурно-спортивной направленности, что является закономерным</w:t>
      </w:r>
      <w:r w:rsidRPr="000E0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не менее опрос родителей (законных представителей) обучающихся в </w:t>
      </w:r>
      <w:r w:rsidR="000E0923" w:rsidRPr="000E09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декабре</w:t>
      </w:r>
      <w:r w:rsidRPr="000E09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2021</w:t>
      </w:r>
      <w:r w:rsidRPr="000E0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показал, что большая часть опрошенных в целом удовлетворены качеством дополнительного образования в Школе.</w:t>
      </w:r>
    </w:p>
    <w:p w:rsidR="002E50C8" w:rsidRPr="002E50C8" w:rsidRDefault="002E50C8" w:rsidP="002E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C8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029325" cy="4162425"/>
            <wp:effectExtent l="0" t="0" r="9525" b="9525"/>
            <wp:docPr id="2" name="Рисунок 2" descr="https://vip.1obraz.ru/system/content/image/52/1/-322853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85367" descr="https://vip.1obraz.ru/system/content/image/52/1/-32285367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23" w:rsidRDefault="000E0923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E0923" w:rsidRDefault="000E0923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Pr="000E0923" w:rsidRDefault="002E50C8" w:rsidP="002E50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09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 Оценка системы управления организацией</w:t>
      </w:r>
    </w:p>
    <w:p w:rsidR="002E50C8" w:rsidRPr="000E0923" w:rsidRDefault="002E50C8" w:rsidP="000E09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092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Управление Школой осуществляется на принципах единоначалия и самоуправления.</w:t>
      </w:r>
    </w:p>
    <w:p w:rsidR="000E0923" w:rsidRPr="000E0923" w:rsidRDefault="000E0923" w:rsidP="000E0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923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240"/>
      </w:tblGrid>
      <w:tr w:rsidR="000E0923" w:rsidRPr="00186AC2" w:rsidTr="003A1F5E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923" w:rsidRPr="00186AC2" w:rsidRDefault="000E0923" w:rsidP="000E0923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923" w:rsidRPr="00186AC2" w:rsidRDefault="000E0923" w:rsidP="000E0923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186AC2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0E0923" w:rsidRPr="00C52A93" w:rsidTr="003A1F5E">
        <w:trPr>
          <w:trHeight w:val="1221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C52A93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Контролирует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работу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обеспечивает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эффективное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взаимодействие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структурных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подразделений </w:t>
            </w:r>
            <w:r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утверждает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штатное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расписание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отчетные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документы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52A93">
              <w:rPr>
                <w:rFonts w:hAnsi="Times New Roman" w:cs="Times New Roman"/>
                <w:sz w:val="24"/>
                <w:szCs w:val="24"/>
              </w:rPr>
              <w:t>общее</w:t>
            </w:r>
            <w:r w:rsidRPr="00C52A9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52A93">
              <w:rPr>
                <w:rFonts w:hAnsi="Times New Roman" w:cs="Times New Roman"/>
                <w:sz w:val="24"/>
                <w:szCs w:val="24"/>
              </w:rPr>
              <w:t>руководство</w:t>
            </w:r>
            <w:r w:rsidRPr="00C52A9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52A93">
              <w:rPr>
                <w:rFonts w:hAnsi="Times New Roman" w:cs="Times New Roman"/>
                <w:sz w:val="24"/>
                <w:szCs w:val="24"/>
              </w:rPr>
              <w:t>Школой</w:t>
            </w:r>
          </w:p>
        </w:tc>
      </w:tr>
      <w:tr w:rsidR="000E0923" w:rsidRPr="00186AC2" w:rsidTr="003A1F5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Управляющий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вопросы</w:t>
            </w:r>
            <w:r w:rsidRPr="00186AC2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E0923" w:rsidRPr="00186AC2" w:rsidRDefault="000E0923" w:rsidP="000E09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финансово</w:t>
            </w:r>
            <w:r w:rsidRPr="00186AC2">
              <w:rPr>
                <w:rFonts w:hAnsi="Times New Roman" w:cs="Times New Roman"/>
                <w:sz w:val="24"/>
                <w:szCs w:val="24"/>
              </w:rPr>
              <w:t>-</w:t>
            </w:r>
            <w:r w:rsidRPr="00186AC2">
              <w:rPr>
                <w:rFonts w:hAnsi="Times New Roman" w:cs="Times New Roman"/>
                <w:sz w:val="24"/>
                <w:szCs w:val="24"/>
              </w:rPr>
              <w:t>хозяйственной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материально</w:t>
            </w:r>
            <w:r w:rsidRPr="00186AC2">
              <w:rPr>
                <w:rFonts w:hAnsi="Times New Roman" w:cs="Times New Roman"/>
                <w:sz w:val="24"/>
                <w:szCs w:val="24"/>
              </w:rPr>
              <w:t>-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0E0923" w:rsidRPr="00186AC2" w:rsidTr="003A1F5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Осуществляет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текущее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руководство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деятельностью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Школы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том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числе рассматривает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вопросы</w:t>
            </w:r>
            <w:r w:rsidRPr="00186AC2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развития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услуг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отношений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разработки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программ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выбора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учебников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учебных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пособий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средств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обучения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воспитания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материально</w:t>
            </w:r>
            <w:r w:rsidRPr="00186AC2">
              <w:rPr>
                <w:rFonts w:hAnsi="Times New Roman" w:cs="Times New Roman"/>
                <w:sz w:val="24"/>
                <w:szCs w:val="24"/>
              </w:rPr>
              <w:t>-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технического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обеспечения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образовательного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процесса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аттестации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повышения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квалификации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координации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E0923" w:rsidRPr="00E24055" w:rsidTr="003A1F5E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Общее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собрание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2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923" w:rsidRPr="00186AC2" w:rsidRDefault="000E0923" w:rsidP="003A1F5E">
            <w:pPr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Реализует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право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участвовать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управлении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организацией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том числе</w:t>
            </w:r>
            <w:r w:rsidRPr="00186AC2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E0923" w:rsidRPr="00186AC2" w:rsidRDefault="000E0923" w:rsidP="000E092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участвовать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в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разработке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принятии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коллективного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договора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правил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трудового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распорядка</w:t>
            </w:r>
            <w:r w:rsidRPr="00186AC2">
              <w:rPr>
                <w:rFonts w:hAnsi="Times New Roman" w:cs="Times New Roman"/>
                <w:sz w:val="24"/>
                <w:szCs w:val="24"/>
              </w:rPr>
              <w:t>,</w:t>
            </w:r>
            <w:r w:rsidRPr="00186AC2">
              <w:rPr>
                <w:rFonts w:hAnsi="Times New Roman" w:cs="Times New Roman"/>
                <w:sz w:val="24"/>
                <w:szCs w:val="24"/>
              </w:rPr>
              <w:t> изменений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дополнений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ним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принимать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локальные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акты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которые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регламентируют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деятельность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 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связаны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правами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обязанностями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разрешать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конфликтные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ситуации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между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работниками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администрацией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образовательной 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0E0923" w:rsidRPr="00186AC2" w:rsidRDefault="000E0923" w:rsidP="000E092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186AC2">
              <w:rPr>
                <w:rFonts w:hAnsi="Times New Roman" w:cs="Times New Roman"/>
                <w:sz w:val="24"/>
                <w:szCs w:val="24"/>
              </w:rPr>
              <w:t>вносить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предложения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по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корректировке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мероприятий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организации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совершенствованию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ее работы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и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развитию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материальной</w:t>
            </w:r>
            <w:r w:rsidRPr="00186AC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86AC2">
              <w:rPr>
                <w:rFonts w:hAnsi="Times New Roman" w:cs="Times New Roman"/>
                <w:sz w:val="24"/>
                <w:szCs w:val="24"/>
              </w:rPr>
              <w:t>базы</w:t>
            </w:r>
          </w:p>
        </w:tc>
      </w:tr>
    </w:tbl>
    <w:p w:rsidR="002E50C8" w:rsidRPr="00044A60" w:rsidRDefault="002E50C8" w:rsidP="00044A60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044A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Для осуществления учебно-методической работы в Школе создано </w:t>
      </w:r>
      <w:r w:rsidR="00044A60" w:rsidRPr="00044A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три</w:t>
      </w:r>
      <w:r w:rsidRPr="00044A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предметных методических объединения</w:t>
      </w:r>
    </w:p>
    <w:p w:rsidR="00044A60" w:rsidRPr="00044A60" w:rsidRDefault="00044A60" w:rsidP="00044A60">
      <w:pPr>
        <w:pStyle w:val="Bodytext20"/>
        <w:numPr>
          <w:ilvl w:val="0"/>
          <w:numId w:val="4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44A60">
        <w:rPr>
          <w:rFonts w:ascii="Times New Roman" w:hAnsi="Times New Roman" w:cs="Times New Roman"/>
          <w:sz w:val="24"/>
          <w:szCs w:val="24"/>
        </w:rPr>
        <w:t>учителей начальных классов;</w:t>
      </w:r>
    </w:p>
    <w:p w:rsidR="00044A60" w:rsidRPr="00044A60" w:rsidRDefault="00044A60" w:rsidP="00044A60">
      <w:pPr>
        <w:pStyle w:val="Bodytext20"/>
        <w:numPr>
          <w:ilvl w:val="0"/>
          <w:numId w:val="41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44A60">
        <w:rPr>
          <w:rFonts w:ascii="Times New Roman" w:hAnsi="Times New Roman" w:cs="Times New Roman"/>
          <w:sz w:val="24"/>
          <w:szCs w:val="24"/>
        </w:rPr>
        <w:t>гуманитарно-эстетического цикла;</w:t>
      </w:r>
    </w:p>
    <w:p w:rsidR="00044A60" w:rsidRPr="00044A60" w:rsidRDefault="00044A60" w:rsidP="00044A60">
      <w:pPr>
        <w:pStyle w:val="a3"/>
        <w:numPr>
          <w:ilvl w:val="0"/>
          <w:numId w:val="41"/>
        </w:num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44A60">
        <w:rPr>
          <w:rFonts w:ascii="Times New Roman" w:hAnsi="Times New Roman" w:cs="Times New Roman"/>
          <w:sz w:val="24"/>
          <w:szCs w:val="24"/>
        </w:rPr>
        <w:t>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0C8" w:rsidRPr="00044A60" w:rsidRDefault="002E50C8" w:rsidP="00AC2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4A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:rsidR="002E50C8" w:rsidRPr="00044A60" w:rsidRDefault="002E50C8" w:rsidP="00AC28F1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4A6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 итогам 2021 года система управления Школой оценивается как эффективная, позволяющая учесть мнение работников и всех участников образовательных отношений.</w:t>
      </w:r>
    </w:p>
    <w:p w:rsidR="00044A60" w:rsidRDefault="00044A60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44A60" w:rsidRDefault="00044A60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Default="002E50C8" w:rsidP="00AC28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Оценка содержания и качества подготовки обучающихся</w:t>
      </w:r>
    </w:p>
    <w:p w:rsidR="00AC28F1" w:rsidRPr="00AC28F1" w:rsidRDefault="00AC28F1" w:rsidP="00AC28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E84" w:rsidRPr="00AC28F1" w:rsidRDefault="004D2E84" w:rsidP="00AC2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насчитывалось 303 обучающихся (из которых 4-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школьникам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обучение на дому: на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НОО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ООО- 3). По итогам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аттестовано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298 обучающихся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аттестовано на «отлично» -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8 обучающихся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«4» и «5» - 65   обучающихся (на уровне обучения НОО –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32,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обучения ООО – 27, СОО-6). Таким образом, качество усвоения материала составило:</w:t>
      </w:r>
    </w:p>
    <w:p w:rsidR="004D2E84" w:rsidRPr="00AC28F1" w:rsidRDefault="004D2E84" w:rsidP="00AC2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–26,5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D2E84" w:rsidRPr="00AC28F1" w:rsidRDefault="004D2E84" w:rsidP="00AC2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19,4%;</w:t>
      </w:r>
    </w:p>
    <w:p w:rsidR="004D2E84" w:rsidRPr="00AC28F1" w:rsidRDefault="004D2E84" w:rsidP="00AC2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</w:t>
      </w:r>
      <w:r w:rsidR="00AC28F1"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46</w:t>
      </w: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>,1 %.</w:t>
      </w:r>
    </w:p>
    <w:p w:rsidR="004D2E84" w:rsidRPr="00AC28F1" w:rsidRDefault="004D2E84" w:rsidP="00AC2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школе –24,1% </w:t>
      </w:r>
    </w:p>
    <w:p w:rsidR="004D2E84" w:rsidRPr="00AC28F1" w:rsidRDefault="004D2E84" w:rsidP="00AC28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AC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школе есть потенциал школьников, которые могли бы учиться на «отлично» - 10 обучающихся (на уровне НОО). Также резерв учеников которые могли окончить 2021 год на «хорошо» и «отлично», но получили  по одной «3» - 12 школьников (на уровне НОО-5, на уровне ООО-5, на уровне СОО -2), из которых на уровне НОО: получили 5 школьников по одной «4» или  «3» по русскому языку, два ученика  по английскому языку;  получили по одной «4» или одной «3» на уровне ООО (6 школьников - по географии, по 1 ученику по физической культуре и английскому языку).</w:t>
      </w:r>
    </w:p>
    <w:p w:rsidR="002E50C8" w:rsidRPr="00AC28F1" w:rsidRDefault="002E50C8" w:rsidP="00AC2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Если сравнить результаты освоения обучающимися программ начального общего образования по показателю «успеваемость» в 2021 году с результатами освоения учащимися программ начального общего образования по показателю «успеваемость» в 2020 году, то можно отметить, что процент учащихся, окончивших на «4» и «5», </w:t>
      </w:r>
      <w:r w:rsidR="004D2E84"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не 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вырос </w:t>
      </w:r>
      <w:r w:rsidR="004D2E84"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 остается практически неизменным.</w:t>
      </w:r>
    </w:p>
    <w:p w:rsidR="002E50C8" w:rsidRPr="00AC28F1" w:rsidRDefault="002E50C8" w:rsidP="00AC2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Если сравнить результаты освоения обучающимися программ основного общего образования по показателю «успеваемость» в 2021 году с результатами освоения учащимися программ основного общего образования по показателю «успеваемость» в 2020 году, то можно отметить, что процент учащихся, окончивших на «4» и «5»</w:t>
      </w:r>
      <w:r w:rsidR="004D2E84"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стабильно низкий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AC28F1" w:rsidRPr="00AC28F1" w:rsidRDefault="00AC28F1" w:rsidP="00AC28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2E50C8"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2021 году обучающиеся 4-8-х классов участвовали в проведении всероссийских проверочных работ. Анализ результатов </w:t>
      </w:r>
      <w:r w:rsidR="002E50C8"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показал положительную динамику по сравнению с результатами 2020 года: 95% учеников справились с заданиями, которые вызвали затруднения на осенних ВПР 2020 года.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AC28F1">
        <w:rPr>
          <w:rFonts w:ascii="Times New Roman" w:hAnsi="Times New Roman" w:cs="Times New Roman"/>
          <w:sz w:val="24"/>
          <w:szCs w:val="24"/>
        </w:rPr>
        <w:t>Анализ диагностических работ в 10 классе показывает, что из 9 предметов, относящихся к базовым за курс основного общего образования по 4 из них высокие проценты успеваемости и качества (география, обществознание, русский язык и математика). Крайне низкие результаты успеваемости и качества по предметам: химия, биология, физика, история, информатика.</w:t>
      </w:r>
      <w:r w:rsidRPr="00AC2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0C8" w:rsidRPr="00AC28F1" w:rsidRDefault="00AC28F1" w:rsidP="00AC2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    </w:t>
      </w:r>
      <w:r w:rsidR="002E50C8"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Результаты освоения учащимися программ среднего общего образования по показателю «успеваемость» в 2021 учебном году выросли на 23 процента (в 2020 количество обучающихся, которые закончили полугодие на «4» и «5», было 4%), процент учащихся, окончивших на «5», стабилен 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и равен 0.</w:t>
      </w:r>
    </w:p>
    <w:p w:rsidR="002E50C8" w:rsidRPr="00AC28F1" w:rsidRDefault="00AC28F1" w:rsidP="00AC28F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2E50C8"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2021 году выпускники 11-х классов сдавали ГИА в форме ГВЭ по русскому языку и математике (далее — ГВЭ-аттестат) в соответствии с постановлением Правительства РФ от 26.02.2021 № 256. ЕГЭ сдавали только выпускники, которые планировали поступать в высшие учебные заведения. Обучающиеся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работа. Участники ГИА с ОВЗ и инвалидностью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не было</w:t>
      </w:r>
      <w:r w:rsidR="002E50C8"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C28F1" w:rsidRPr="00AC28F1" w:rsidRDefault="00AC28F1" w:rsidP="00AC28F1">
      <w:pPr>
        <w:ind w:right="280"/>
        <w:jc w:val="center"/>
        <w:rPr>
          <w:sz w:val="24"/>
          <w:szCs w:val="24"/>
        </w:rPr>
      </w:pPr>
      <w:r w:rsidRPr="00AC28F1">
        <w:rPr>
          <w:rFonts w:ascii="Times New Roman" w:eastAsia="Times New Roman" w:hAnsi="Times New Roman" w:cs="Times New Roman"/>
          <w:iCs/>
          <w:sz w:val="24"/>
          <w:szCs w:val="24"/>
        </w:rPr>
        <w:t>Результаты ОГЭ по русскому языку и математике обучающихся 9-х классов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407"/>
        <w:gridCol w:w="897"/>
        <w:gridCol w:w="850"/>
        <w:gridCol w:w="851"/>
        <w:gridCol w:w="850"/>
        <w:gridCol w:w="1163"/>
        <w:gridCol w:w="1134"/>
        <w:gridCol w:w="1559"/>
      </w:tblGrid>
      <w:tr w:rsidR="00AC28F1" w:rsidRPr="0003073E" w:rsidTr="00AC28F1">
        <w:trPr>
          <w:trHeight w:val="315"/>
        </w:trPr>
        <w:tc>
          <w:tcPr>
            <w:tcW w:w="923" w:type="dxa"/>
            <w:vMerge w:val="restart"/>
            <w:shd w:val="clear" w:color="auto" w:fill="auto"/>
          </w:tcPr>
          <w:p w:rsidR="00AC28F1" w:rsidRPr="0003073E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C28F1" w:rsidRPr="0003073E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3448" w:type="dxa"/>
            <w:gridSpan w:val="4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856" w:type="dxa"/>
            <w:gridSpan w:val="3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C28F1" w:rsidRPr="0003073E" w:rsidTr="00AC28F1">
        <w:trPr>
          <w:trHeight w:val="965"/>
        </w:trPr>
        <w:tc>
          <w:tcPr>
            <w:tcW w:w="923" w:type="dxa"/>
            <w:vMerge/>
            <w:shd w:val="clear" w:color="auto" w:fill="auto"/>
          </w:tcPr>
          <w:p w:rsidR="00AC28F1" w:rsidRPr="0003073E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C28F1" w:rsidRPr="0003073E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C28F1" w:rsidRPr="0003073E" w:rsidTr="00AC28F1">
        <w:trPr>
          <w:trHeight w:val="346"/>
        </w:trPr>
        <w:tc>
          <w:tcPr>
            <w:tcW w:w="923" w:type="dxa"/>
            <w:shd w:val="clear" w:color="auto" w:fill="auto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1407" w:type="dxa"/>
            <w:shd w:val="clear" w:color="auto" w:fill="auto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7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C28F1" w:rsidRPr="0003073E" w:rsidTr="00AC28F1">
        <w:tc>
          <w:tcPr>
            <w:tcW w:w="923" w:type="dxa"/>
            <w:shd w:val="clear" w:color="auto" w:fill="auto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lastRenderedPageBreak/>
              <w:t>9б</w:t>
            </w:r>
          </w:p>
        </w:tc>
        <w:tc>
          <w:tcPr>
            <w:tcW w:w="1407" w:type="dxa"/>
            <w:shd w:val="clear" w:color="auto" w:fill="auto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7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AC28F1" w:rsidRPr="0003073E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C28F1" w:rsidRPr="0003073E" w:rsidTr="00AC28F1">
        <w:tc>
          <w:tcPr>
            <w:tcW w:w="923" w:type="dxa"/>
            <w:shd w:val="clear" w:color="auto" w:fill="BFBFBF"/>
          </w:tcPr>
          <w:p w:rsidR="00AC28F1" w:rsidRPr="0003073E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  <w:r w:rsidRPr="0003073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07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74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97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1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shd w:val="clear" w:color="auto" w:fill="BFBFBF"/>
          </w:tcPr>
          <w:p w:rsidR="00AC28F1" w:rsidRPr="003A574C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C28F1" w:rsidRPr="0003073E" w:rsidTr="00AC28F1">
        <w:trPr>
          <w:trHeight w:val="321"/>
        </w:trPr>
        <w:tc>
          <w:tcPr>
            <w:tcW w:w="2330" w:type="dxa"/>
            <w:gridSpan w:val="2"/>
            <w:shd w:val="clear" w:color="auto" w:fill="BFBFBF"/>
          </w:tcPr>
          <w:p w:rsidR="00AC28F1" w:rsidRPr="003A574C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Успеваемость %</w:t>
            </w:r>
          </w:p>
        </w:tc>
        <w:tc>
          <w:tcPr>
            <w:tcW w:w="3448" w:type="dxa"/>
            <w:gridSpan w:val="4"/>
            <w:shd w:val="clear" w:color="auto" w:fill="BFBFBF"/>
          </w:tcPr>
          <w:p w:rsidR="00AC28F1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AC28F1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C28F1" w:rsidRPr="0003073E" w:rsidTr="00AC28F1">
        <w:tc>
          <w:tcPr>
            <w:tcW w:w="2330" w:type="dxa"/>
            <w:gridSpan w:val="2"/>
            <w:shd w:val="clear" w:color="auto" w:fill="BFBFBF"/>
          </w:tcPr>
          <w:p w:rsidR="00AC28F1" w:rsidRPr="003A574C" w:rsidRDefault="00AC28F1" w:rsidP="00626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  <w:tc>
          <w:tcPr>
            <w:tcW w:w="3448" w:type="dxa"/>
            <w:gridSpan w:val="4"/>
            <w:shd w:val="clear" w:color="auto" w:fill="BFBFBF"/>
          </w:tcPr>
          <w:p w:rsidR="00AC28F1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856" w:type="dxa"/>
            <w:gridSpan w:val="3"/>
            <w:shd w:val="clear" w:color="auto" w:fill="BFBFBF"/>
          </w:tcPr>
          <w:p w:rsidR="00AC28F1" w:rsidRDefault="00AC28F1" w:rsidP="00626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</w:tbl>
    <w:p w:rsidR="00AC28F1" w:rsidRDefault="00AC28F1" w:rsidP="00AC28F1">
      <w:pPr>
        <w:spacing w:line="36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AC28F1" w:rsidRPr="00AC28F1" w:rsidRDefault="00AC28F1" w:rsidP="00E448C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F1">
        <w:rPr>
          <w:rFonts w:ascii="Times New Roman" w:eastAsia="Calibri" w:hAnsi="Times New Roman" w:cs="Times New Roman"/>
          <w:sz w:val="24"/>
          <w:szCs w:val="24"/>
        </w:rPr>
        <w:t xml:space="preserve">Количество выпускников ООО на конец учебного года – 35. </w:t>
      </w:r>
    </w:p>
    <w:p w:rsidR="00AC28F1" w:rsidRPr="00AC28F1" w:rsidRDefault="00AC28F1" w:rsidP="00E448C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F1">
        <w:rPr>
          <w:rFonts w:ascii="Times New Roman" w:eastAsia="Calibri" w:hAnsi="Times New Roman" w:cs="Times New Roman"/>
          <w:sz w:val="24"/>
          <w:szCs w:val="24"/>
        </w:rPr>
        <w:t xml:space="preserve">Получили аттестат об основном общем образовании все 35 девятиклассников (после пересдачи неудовлетворительного результата по русскому языку), из них получили аттестат с отличием – 0. </w:t>
      </w:r>
    </w:p>
    <w:p w:rsidR="00AC28F1" w:rsidRPr="00AC28F1" w:rsidRDefault="00AC28F1" w:rsidP="00AC28F1">
      <w:pPr>
        <w:spacing w:line="360" w:lineRule="auto"/>
        <w:ind w:right="28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28F1">
        <w:rPr>
          <w:rFonts w:ascii="Times New Roman" w:eastAsia="Times New Roman" w:hAnsi="Times New Roman" w:cs="Times New Roman"/>
          <w:iCs/>
          <w:sz w:val="24"/>
          <w:szCs w:val="24"/>
        </w:rPr>
        <w:t>Результаты ГВЭ по русскому языку и математике обучающихся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807"/>
        <w:gridCol w:w="914"/>
        <w:gridCol w:w="914"/>
        <w:gridCol w:w="914"/>
        <w:gridCol w:w="914"/>
        <w:gridCol w:w="914"/>
        <w:gridCol w:w="914"/>
        <w:gridCol w:w="914"/>
      </w:tblGrid>
      <w:tr w:rsidR="00AC28F1" w:rsidRPr="00847C8A" w:rsidTr="00626F6B">
        <w:trPr>
          <w:trHeight w:val="405"/>
        </w:trPr>
        <w:tc>
          <w:tcPr>
            <w:tcW w:w="1162" w:type="dxa"/>
            <w:vMerge w:val="restart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4228" w:type="dxa"/>
            <w:gridSpan w:val="4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71" w:type="dxa"/>
            <w:gridSpan w:val="3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C28F1" w:rsidRPr="00847C8A" w:rsidTr="00626F6B">
        <w:trPr>
          <w:trHeight w:val="615"/>
        </w:trPr>
        <w:tc>
          <w:tcPr>
            <w:tcW w:w="1162" w:type="dxa"/>
            <w:vMerge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4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5</w:t>
            </w:r>
          </w:p>
        </w:tc>
      </w:tr>
      <w:tr w:rsidR="00AC28F1" w:rsidRPr="00847C8A" w:rsidTr="00626F6B">
        <w:tc>
          <w:tcPr>
            <w:tcW w:w="1162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61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0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  2</w:t>
            </w:r>
          </w:p>
        </w:tc>
        <w:tc>
          <w:tcPr>
            <w:tcW w:w="1057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 xml:space="preserve">  0</w:t>
            </w:r>
          </w:p>
        </w:tc>
      </w:tr>
      <w:tr w:rsidR="00AC28F1" w:rsidRPr="00847C8A" w:rsidTr="00626F6B">
        <w:tc>
          <w:tcPr>
            <w:tcW w:w="3023" w:type="dxa"/>
            <w:gridSpan w:val="2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Успеваемость %</w:t>
            </w:r>
          </w:p>
        </w:tc>
        <w:tc>
          <w:tcPr>
            <w:tcW w:w="4228" w:type="dxa"/>
            <w:gridSpan w:val="4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171" w:type="dxa"/>
            <w:gridSpan w:val="3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C28F1" w:rsidRPr="00847C8A" w:rsidTr="00626F6B">
        <w:tc>
          <w:tcPr>
            <w:tcW w:w="3023" w:type="dxa"/>
            <w:gridSpan w:val="2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Качество %</w:t>
            </w:r>
          </w:p>
        </w:tc>
        <w:tc>
          <w:tcPr>
            <w:tcW w:w="4228" w:type="dxa"/>
            <w:gridSpan w:val="4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71" w:type="dxa"/>
            <w:gridSpan w:val="3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847C8A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AC28F1" w:rsidRDefault="00AC28F1" w:rsidP="002E50C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C28F1" w:rsidRPr="00AC28F1" w:rsidRDefault="00AC28F1" w:rsidP="00AC28F1">
      <w:pPr>
        <w:spacing w:line="360" w:lineRule="auto"/>
        <w:ind w:right="28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28F1">
        <w:rPr>
          <w:rFonts w:ascii="Times New Roman" w:eastAsia="Times New Roman" w:hAnsi="Times New Roman" w:cs="Times New Roman"/>
          <w:iCs/>
          <w:sz w:val="24"/>
          <w:szCs w:val="24"/>
        </w:rPr>
        <w:t>Результаты ЕГЭ по русскому языку обучающихся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84"/>
        <w:gridCol w:w="1855"/>
        <w:gridCol w:w="1855"/>
        <w:gridCol w:w="1823"/>
      </w:tblGrid>
      <w:tr w:rsidR="00AC28F1" w:rsidRPr="00847C8A" w:rsidTr="00626F6B">
        <w:trPr>
          <w:trHeight w:val="465"/>
        </w:trPr>
        <w:tc>
          <w:tcPr>
            <w:tcW w:w="2084" w:type="dxa"/>
            <w:vMerge w:val="restart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Класс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Количество учащихся</w:t>
            </w:r>
          </w:p>
        </w:tc>
        <w:tc>
          <w:tcPr>
            <w:tcW w:w="6254" w:type="dxa"/>
            <w:gridSpan w:val="3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Русский язык</w:t>
            </w:r>
          </w:p>
        </w:tc>
      </w:tr>
      <w:tr w:rsidR="00AC28F1" w:rsidRPr="00847C8A" w:rsidTr="00626F6B">
        <w:trPr>
          <w:trHeight w:val="495"/>
        </w:trPr>
        <w:tc>
          <w:tcPr>
            <w:tcW w:w="2084" w:type="dxa"/>
            <w:vMerge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50 баллов</w:t>
            </w:r>
          </w:p>
        </w:tc>
        <w:tc>
          <w:tcPr>
            <w:tcW w:w="2085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69 баллов</w:t>
            </w:r>
          </w:p>
        </w:tc>
        <w:tc>
          <w:tcPr>
            <w:tcW w:w="2085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73 балла</w:t>
            </w:r>
          </w:p>
        </w:tc>
      </w:tr>
      <w:tr w:rsidR="00AC28F1" w:rsidRPr="00847C8A" w:rsidTr="00626F6B">
        <w:tc>
          <w:tcPr>
            <w:tcW w:w="2084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11</w:t>
            </w:r>
          </w:p>
        </w:tc>
        <w:tc>
          <w:tcPr>
            <w:tcW w:w="2084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AC28F1" w:rsidRPr="00847C8A" w:rsidRDefault="00AC28F1" w:rsidP="00626F6B">
            <w:pPr>
              <w:ind w:right="280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847C8A">
              <w:rPr>
                <w:rFonts w:ascii="Times New Roman" w:eastAsia="Times New Roman" w:hAnsi="Times New Roman" w:cs="Times New Roman"/>
                <w:iCs/>
                <w:sz w:val="24"/>
              </w:rPr>
              <w:t>1</w:t>
            </w:r>
          </w:p>
        </w:tc>
      </w:tr>
    </w:tbl>
    <w:p w:rsidR="00AC28F1" w:rsidRDefault="00AC28F1" w:rsidP="00AC28F1">
      <w:pPr>
        <w:spacing w:line="360" w:lineRule="auto"/>
        <w:ind w:right="280"/>
        <w:rPr>
          <w:rFonts w:ascii="Times New Roman" w:eastAsia="Times New Roman" w:hAnsi="Times New Roman" w:cs="Times New Roman"/>
          <w:iCs/>
          <w:szCs w:val="28"/>
        </w:rPr>
      </w:pPr>
    </w:p>
    <w:p w:rsidR="00AC28F1" w:rsidRPr="00AC28F1" w:rsidRDefault="00AC28F1" w:rsidP="00E448C0">
      <w:pPr>
        <w:spacing w:after="0" w:line="240" w:lineRule="auto"/>
        <w:ind w:right="28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28F1">
        <w:rPr>
          <w:rFonts w:ascii="Times New Roman" w:eastAsia="Times New Roman" w:hAnsi="Times New Roman" w:cs="Times New Roman"/>
          <w:iCs/>
          <w:sz w:val="24"/>
          <w:szCs w:val="24"/>
        </w:rPr>
        <w:t>Результаты ЕГЭ по выбранным предметам (химия и биология) соответствуют 49 – 53 баллам.</w:t>
      </w:r>
    </w:p>
    <w:p w:rsidR="00AC28F1" w:rsidRPr="00AC28F1" w:rsidRDefault="00AC28F1" w:rsidP="00E448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F1">
        <w:rPr>
          <w:rFonts w:ascii="Times New Roman" w:eastAsia="Calibri" w:hAnsi="Times New Roman" w:cs="Times New Roman"/>
          <w:sz w:val="24"/>
          <w:szCs w:val="24"/>
        </w:rPr>
        <w:t xml:space="preserve">Количество выпускников СОО на конец учебного года – 8. </w:t>
      </w:r>
    </w:p>
    <w:p w:rsidR="00AC28F1" w:rsidRPr="00AC28F1" w:rsidRDefault="00AC28F1" w:rsidP="00E448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F1">
        <w:rPr>
          <w:rFonts w:ascii="Times New Roman" w:eastAsia="Calibri" w:hAnsi="Times New Roman" w:cs="Times New Roman"/>
          <w:sz w:val="24"/>
          <w:szCs w:val="24"/>
        </w:rPr>
        <w:t xml:space="preserve">Получили аттестат о среднем общем образовании 7 выпускников 11 класса, из них получили аттестат с отличием – 0. </w:t>
      </w:r>
    </w:p>
    <w:p w:rsidR="00AC28F1" w:rsidRPr="002E50C8" w:rsidRDefault="00AC28F1" w:rsidP="002E50C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E50C8" w:rsidRDefault="002E50C8" w:rsidP="00AC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E448C0" w:rsidRPr="00AC28F1" w:rsidRDefault="00E448C0" w:rsidP="00AC2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E50C8" w:rsidRPr="00AC28F1" w:rsidRDefault="002E50C8" w:rsidP="00E4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E50C8" w:rsidRPr="00AC28F1" w:rsidRDefault="002E50C8" w:rsidP="00E44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Образовательная деятельность в Школе осуществляется по пятидневной учебной неделе для </w:t>
      </w:r>
      <w:r w:rsid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–11-х классов. Занятия проводятся в две смены для обучающихся 2–4-х классов, в одну смену — для обучающихся 1-х, 5–11-х классов.</w:t>
      </w:r>
    </w:p>
    <w:p w:rsidR="002E50C8" w:rsidRPr="00AC28F1" w:rsidRDefault="002E50C8" w:rsidP="00E4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соответствии с СП 3.1/2.43598-20 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и методическими рекомендациями по организации начала работы образовательных организаций </w:t>
      </w:r>
      <w:proofErr w:type="spellStart"/>
      <w:r w:rsid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Волгодонского</w:t>
      </w:r>
      <w:proofErr w:type="spellEnd"/>
      <w:r w:rsid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района 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2021/22 учебном году Школа: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уведомила управление </w:t>
      </w:r>
      <w:proofErr w:type="gramStart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  о</w:t>
      </w:r>
      <w:proofErr w:type="gramEnd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дате начала образовательного процесса;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закрепила кабинеты за классами;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составила и утвердила графики уборки, проветривания кабинетов и рекреаций;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разместила на сайте школы необходимую информацию об </w:t>
      </w:r>
      <w:proofErr w:type="spellStart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мерах, дополнительно направили ссылки </w:t>
      </w:r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 официальным родительским группам в </w:t>
      </w:r>
      <w:proofErr w:type="spellStart"/>
      <w:r w:rsidRPr="00AC28F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WhatsApp</w:t>
      </w:r>
      <w:proofErr w:type="spellEnd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E50C8" w:rsidRPr="00AC28F1" w:rsidRDefault="002E50C8" w:rsidP="00E448C0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использует при осуществлении образовательного процесса бесконтактные термометры, тепловизор</w:t>
      </w:r>
      <w:r w:rsid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стационарн</w:t>
      </w:r>
      <w:r w:rsid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главн</w:t>
      </w:r>
      <w:r w:rsid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</w:t>
      </w:r>
      <w:r w:rsid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один </w:t>
      </w:r>
      <w:r w:rsid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тепловизор </w:t>
      </w:r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ручной, </w:t>
      </w:r>
      <w:proofErr w:type="spellStart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рециркуляторы</w:t>
      </w:r>
      <w:proofErr w:type="spellEnd"/>
      <w:r w:rsidRPr="00AC2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настенные для каждого кабинета, средства и устройства для антисептической обработки рук, маски многоразового использования, маски медицинские, перчатки.</w:t>
      </w:r>
    </w:p>
    <w:p w:rsidR="00E448C0" w:rsidRDefault="00E448C0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Pr="00E448C0" w:rsidRDefault="002E50C8" w:rsidP="00BF7F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 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68"/>
        <w:gridCol w:w="812"/>
        <w:gridCol w:w="812"/>
        <w:gridCol w:w="1548"/>
        <w:gridCol w:w="567"/>
        <w:gridCol w:w="946"/>
        <w:gridCol w:w="1548"/>
        <w:gridCol w:w="1005"/>
        <w:gridCol w:w="781"/>
      </w:tblGrid>
      <w:tr w:rsidR="002E50C8" w:rsidRPr="00E448C0" w:rsidTr="002E50C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Год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Средняя школа</w:t>
            </w:r>
          </w:p>
        </w:tc>
      </w:tr>
      <w:tr w:rsidR="002E50C8" w:rsidRPr="00E448C0" w:rsidTr="002E50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Перешли в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10-й класс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Перешли в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10-й класс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Поступили в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профессиональную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Поступили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Поступили в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профессиональную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Устроились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Пошли на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срочную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службу по</w:t>
            </w:r>
          </w:p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призыву</w:t>
            </w:r>
          </w:p>
        </w:tc>
      </w:tr>
      <w:tr w:rsidR="002E50C8" w:rsidRPr="00E448C0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2E50C8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50C8" w:rsidRPr="00E448C0" w:rsidRDefault="00E448C0" w:rsidP="00E448C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E50C8" w:rsidRPr="00E448C0" w:rsidRDefault="002E50C8" w:rsidP="00BF7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2021 году увеличилось число выпускников 9-го класса, которые продолжили обучение в 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школе</w:t>
      </w:r>
      <w:r w:rsidRP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 </w:t>
      </w:r>
    </w:p>
    <w:p w:rsidR="002E50C8" w:rsidRPr="00E448C0" w:rsidRDefault="002E50C8" w:rsidP="00BF7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48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выпускников, поступающих в ВУЗ</w:t>
      </w:r>
      <w:r w:rsidR="00BF7F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 меняется</w:t>
      </w:r>
      <w:r w:rsidRP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 В 2021 году прирост составил 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0%</w:t>
      </w:r>
      <w:r w:rsidRPr="00E448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BF7F4C" w:rsidRDefault="00BF7F4C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Default="002E50C8" w:rsidP="00BF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 Оценка качества кадрового обеспечения</w:t>
      </w:r>
    </w:p>
    <w:p w:rsidR="00BF7F4C" w:rsidRPr="00BF7F4C" w:rsidRDefault="00BF7F4C" w:rsidP="00BF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На период самообследования в Школе работают 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="00E17EA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педагог</w:t>
      </w:r>
      <w:r w:rsidR="00E17EA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, из них 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— внутренних совместителей. Из них 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человек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име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ю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т среднее специальное образование. В 2021 году аттестацию прошли 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4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человек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а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— на высшую квалификационную категорию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и 2 – на первую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Основные принципы кадровой политики направлены:</w:t>
      </w:r>
    </w:p>
    <w:p w:rsidR="002E50C8" w:rsidRPr="00BF7F4C" w:rsidRDefault="002E50C8" w:rsidP="00BF7F4C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на сохранение, укрепление и развитие кадрового потенциала;</w:t>
      </w:r>
    </w:p>
    <w:p w:rsidR="002E50C8" w:rsidRPr="00BF7F4C" w:rsidRDefault="002E50C8" w:rsidP="00BF7F4C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создание квалифицированного коллектива, способного работать в современных условиях;</w:t>
      </w:r>
    </w:p>
    <w:p w:rsidR="002E50C8" w:rsidRPr="00BF7F4C" w:rsidRDefault="002E50C8" w:rsidP="00BF7F4C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повышения уровня квалификации персонала.</w:t>
      </w: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2E50C8" w:rsidRPr="00BF7F4C" w:rsidRDefault="002E50C8" w:rsidP="00BF7F4C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2E50C8" w:rsidRPr="00BF7F4C" w:rsidRDefault="002E50C8" w:rsidP="00BF7F4C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Школе создана устойчивая целевая кадровая система, в которой осуществляется подготовка новых кадров из числа собственных</w:t>
      </w:r>
      <w:r w:rsidRPr="00BF7F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выпускников;</w:t>
      </w:r>
    </w:p>
    <w:p w:rsidR="002E50C8" w:rsidRPr="00BF7F4C" w:rsidRDefault="002E50C8" w:rsidP="00BF7F4C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кадровый потенциал Школы динамично развивается на основе целенаправленной работы по </w:t>
      </w:r>
      <w:hyperlink r:id="rId12" w:anchor="/document/16/4019/" w:history="1">
        <w:r w:rsidRPr="00BF7F4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BF7F4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период дистанционного обучения все педагоги Школы успешно освоили онлайн-сервисы, применяли цифровые образовательные ресурсы.</w:t>
      </w:r>
    </w:p>
    <w:p w:rsidR="002E50C8" w:rsidRPr="00BF7F4C" w:rsidRDefault="002E50C8" w:rsidP="00BF7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25% педагогов прошли обучение по вопросам организации дистанционного обучения в объеме от </w:t>
      </w:r>
      <w:r w:rsidR="00BF7F4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16</w:t>
      </w:r>
      <w:r w:rsidRPr="00BF7F4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 до 72 часов. 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10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0%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педагогов прошли повышение квалификации — освоили </w:t>
      </w:r>
      <w:r w:rsidRP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учебный курс «Основы компьютерной грамотности и использование ИКТ в решении профессиональных задач в условиях пандемии»</w:t>
      </w:r>
      <w:r w:rsidR="00BF7F4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BF7F4C" w:rsidRDefault="00BF7F4C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Pr="00BF7F4C" w:rsidRDefault="002E50C8" w:rsidP="00BF7F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7F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FB48EC" w:rsidRPr="00FB48EC" w:rsidRDefault="00FB48EC" w:rsidP="00FB48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Основной фонд литературы составляет 10001 экземпляр, а учебной 4678                           экземпляров, 156 дисков медиатеки.</w:t>
      </w:r>
    </w:p>
    <w:p w:rsidR="00FB48EC" w:rsidRPr="00FB48EC" w:rsidRDefault="00FB48EC" w:rsidP="00FB4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 xml:space="preserve">За прошедший год в библиотеку поступило 424 экземпляров учебников. </w:t>
      </w:r>
    </w:p>
    <w:p w:rsidR="00FB48EC" w:rsidRPr="00FB48EC" w:rsidRDefault="00FB48EC" w:rsidP="00FB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Работа с резервным фондом учебников: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-ведение его учета;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-передача учебников в другие школы.</w:t>
      </w:r>
    </w:p>
    <w:p w:rsidR="00FB48EC" w:rsidRPr="00FB48EC" w:rsidRDefault="00FB48EC" w:rsidP="00FB4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Осуществляется прием и выдача учебной и художественной литературы в соответствии с графиком.</w:t>
      </w:r>
    </w:p>
    <w:p w:rsidR="00FB48EC" w:rsidRPr="00FB48EC" w:rsidRDefault="00FB48EC" w:rsidP="00FB4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Работа по сохранению учебного фонда ведется постоянно:</w:t>
      </w:r>
    </w:p>
    <w:p w:rsidR="00FB48EC" w:rsidRPr="00FB48EC" w:rsidRDefault="00FB48EC" w:rsidP="00FB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 xml:space="preserve">     - ведется соответствующая документация;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 готовятся списки и акты на списание устаревших и ветхих учебников;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 принимаются меры по возмещению ущерба, причиненного по вине пользователя;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 раз в четверть проводились рейды проверок состояния учебников;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 регулярно проводится работа с должниками;</w:t>
      </w:r>
    </w:p>
    <w:p w:rsidR="00FB48EC" w:rsidRPr="00FB48EC" w:rsidRDefault="00FB48EC" w:rsidP="00FB4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- с учащимися начальной школы проводились беседы о бережном отношении к книге.</w:t>
      </w:r>
    </w:p>
    <w:p w:rsidR="00FB48EC" w:rsidRPr="00FB48EC" w:rsidRDefault="00FB48EC" w:rsidP="00FB4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Активное участие в этой работе принимал библиотечный актив школы. Ученики участвовали в рейдах, помогали в организации работы с должниками, оказывали помощь при выдаче книг. Ребята участвовали в массовых мероприятиях. Провели мелкий ремонт книг.</w:t>
      </w:r>
    </w:p>
    <w:p w:rsidR="00FB48EC" w:rsidRPr="00FB48EC" w:rsidRDefault="00FB48EC" w:rsidP="00FB4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 – 9 человек в день.</w:t>
      </w:r>
    </w:p>
    <w:p w:rsidR="00FB48EC" w:rsidRPr="00FB48EC" w:rsidRDefault="00FB48EC" w:rsidP="00FB48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48EC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FB48EC" w:rsidRPr="00FB48EC" w:rsidRDefault="00FB48EC" w:rsidP="00FB48E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E50C8" w:rsidRPr="00FB48EC" w:rsidRDefault="002E50C8" w:rsidP="002E50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 Оценка материально-технической базы</w:t>
      </w:r>
    </w:p>
    <w:p w:rsidR="002E50C8" w:rsidRPr="00FB48EC" w:rsidRDefault="002E50C8" w:rsidP="00FB48E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11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 учебных кабинета, 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каждый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из них оснащен современной мультимедийной техникой, в том числе:</w:t>
      </w:r>
    </w:p>
    <w:p w:rsidR="002E50C8" w:rsidRPr="00FB48EC" w:rsidRDefault="002E50C8" w:rsidP="00FB48EC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физике;</w:t>
      </w:r>
    </w:p>
    <w:p w:rsidR="002E50C8" w:rsidRPr="00FB48EC" w:rsidRDefault="002E50C8" w:rsidP="00FB48EC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химии;</w:t>
      </w:r>
    </w:p>
    <w:p w:rsidR="002E50C8" w:rsidRPr="00FB48EC" w:rsidRDefault="002E50C8" w:rsidP="00FB48EC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биологии;</w:t>
      </w:r>
    </w:p>
    <w:p w:rsidR="002E50C8" w:rsidRPr="00FB48EC" w:rsidRDefault="00FB48EC" w:rsidP="00FB48EC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1</w:t>
      </w:r>
      <w:r w:rsidR="002E50C8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компьютерн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ый</w:t>
      </w:r>
      <w:r w:rsidR="002E50C8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класс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2E50C8" w:rsidRPr="00FB48EC" w:rsidRDefault="002E50C8" w:rsidP="00FB48E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 2021 году 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 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Школ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е открыт образовательный Центр «Точка роста».</w:t>
      </w:r>
      <w:r w:rsidR="00FB48EC" w:rsidRPr="00FB4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На первом этаже оборудованы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актовый зал,</w:t>
      </w: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столовая, пищеблок и спортивный зал.</w:t>
      </w:r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FB48EC" w:rsidRPr="00FB48EC">
        <w:rPr>
          <w:rFonts w:ascii="Times New Roman" w:hAnsi="Times New Roman" w:cs="Times New Roman"/>
          <w:sz w:val="24"/>
          <w:szCs w:val="24"/>
        </w:rPr>
        <w:t>В декабре 2021 года заканчивается строительство дополнительного здания начальной школы на 100 мест.</w:t>
      </w:r>
    </w:p>
    <w:p w:rsidR="002E50C8" w:rsidRPr="00FB48EC" w:rsidRDefault="002E50C8" w:rsidP="00FB48E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результате самообследования сравнили оснащения Школы с Перечнем средств обучения и воспитания, утвержденным </w:t>
      </w:r>
      <w:hyperlink r:id="rId13" w:anchor="/document/99/726597178/" w:tgtFrame="_self" w:history="1">
        <w:r w:rsidRPr="00FB4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FB4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FB4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23.08.2021 № 590</w:t>
        </w:r>
      </w:hyperlink>
      <w:r w:rsidRPr="00FB4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8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 итогам сравнения можно прийти к выводу, что Школе необходимо закупить и установить следующее оборудование, инвентарь:</w:t>
      </w:r>
    </w:p>
    <w:p w:rsidR="002E50C8" w:rsidRPr="00FB48EC" w:rsidRDefault="002E50C8" w:rsidP="00FB48EC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в рекреациях: </w:t>
      </w:r>
      <w:proofErr w:type="gramStart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стол модульный</w:t>
      </w:r>
      <w:proofErr w:type="gramEnd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регулируемый по высоте, стул ученический регулируемый по высоте, интерактивную стойку со встроенным планшетом, ЖК-панель с медиаплеером;</w:t>
      </w:r>
    </w:p>
    <w:p w:rsidR="00FB48EC" w:rsidRPr="00FB48EC" w:rsidRDefault="002E50C8" w:rsidP="00FB48EC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в спортзале: скакалки, мяч набивной (</w:t>
      </w:r>
      <w:proofErr w:type="spellStart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медбол</w:t>
      </w:r>
      <w:proofErr w:type="spellEnd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), степ-платформы, снаряды для функционального тренинга, дуги для </w:t>
      </w:r>
      <w:proofErr w:type="spellStart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подлезания</w:t>
      </w:r>
      <w:proofErr w:type="spellEnd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, коврики гимнастические, палки гимнастические утяжеленные (</w:t>
      </w:r>
      <w:proofErr w:type="spellStart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бодибары</w:t>
      </w:r>
      <w:proofErr w:type="spellEnd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), стойку для </w:t>
      </w:r>
      <w:proofErr w:type="spellStart"/>
      <w:r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бодибаров</w:t>
      </w:r>
      <w:proofErr w:type="spellEnd"/>
      <w:r w:rsidR="00FB48EC" w:rsidRPr="00FB48E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FB48EC" w:rsidRDefault="00FB48EC" w:rsidP="002E50C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2E50C8" w:rsidRPr="002E50C8" w:rsidRDefault="002E50C8" w:rsidP="002E50C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E50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IX. Оценка функционирования внутренней системы оценки качества образования</w:t>
      </w:r>
    </w:p>
    <w:p w:rsidR="002E50C8" w:rsidRPr="00041B11" w:rsidRDefault="002E50C8" w:rsidP="0004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По итогам оценки качества образования в 2021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:rsidR="002E50C8" w:rsidRPr="00041B11" w:rsidRDefault="002E50C8" w:rsidP="0004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По результатам анкетирования 2021 года выявлено, что количество родителей, которые удовлетворены общим качеством образования в Школе, — 63 процента, количество обучающихся, удовлетворенных образовательным процессом, — 68 процентов.</w:t>
      </w:r>
    </w:p>
    <w:p w:rsidR="002E50C8" w:rsidRPr="00041B11" w:rsidRDefault="002E50C8" w:rsidP="0004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продолжила проводить в 2021 году мониторинг удовлетворенности родителей и учеников дистанционным обучением посредством опросов и анкетирования. </w:t>
      </w: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Преимущества дистанционного образования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</w:r>
    </w:p>
    <w:p w:rsidR="002E50C8" w:rsidRPr="00041B11" w:rsidRDefault="002E50C8" w:rsidP="00041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50% родителей отметили, что во время дистанционного обучения оценки ребенка не изменились, третья часть — что они улучшились, и 4% — что ухудшились. Хотя в целом формальная успеваемость осталась прежней, 45% опрошенных считают, что переход на дистанционное образование негативно отразилось на уровне знаний школьников.</w:t>
      </w:r>
    </w:p>
    <w:p w:rsidR="002E50C8" w:rsidRPr="00041B11" w:rsidRDefault="002E50C8" w:rsidP="0004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15025" cy="3009900"/>
            <wp:effectExtent l="0" t="0" r="9525" b="0"/>
            <wp:docPr id="1" name="Рисунок 1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C8" w:rsidRPr="00041B11" w:rsidRDefault="002E50C8" w:rsidP="00041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2E50C8" w:rsidRPr="00041B11" w:rsidRDefault="002E50C8" w:rsidP="00041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Данные приведены по состоянию на 30 декабря 2021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1380"/>
        <w:gridCol w:w="1785"/>
      </w:tblGrid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E50C8" w:rsidRPr="00041B11" w:rsidTr="002E50C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152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138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 класса, которые получили результаты ниже установленного минимального количества баллов ЕГЭ по математике, </w:t>
            </w:r>
            <w:r w:rsidR="00041B11"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041B11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том числе количество </w:t>
            </w:r>
            <w:proofErr w:type="spellStart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36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 (</w:t>
            </w:r>
            <w:r w:rsidR="00E17E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 (</w:t>
            </w:r>
            <w:r w:rsidR="00E17E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E17E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E17E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2E50C8" w:rsidRPr="00041B11" w:rsidTr="002E50C8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0,175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304</w:t>
            </w:r>
            <w:r w:rsidR="002E50C8" w:rsidRPr="00041B1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2E50C8" w:rsidRPr="00041B11" w:rsidTr="002E50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2E50C8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0C8" w:rsidRPr="00041B11" w:rsidRDefault="00E17EA3" w:rsidP="0004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2E50C8" w:rsidRPr="00041B11" w:rsidRDefault="002E50C8" w:rsidP="00E17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Анализ показателей указывает на то, что Школа имеет достаточную инфраструктуру, которая соответствует </w:t>
      </w:r>
      <w:r w:rsidRPr="00E17EA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требованиям </w:t>
      </w:r>
      <w:hyperlink r:id="rId15" w:anchor="/document/99/566085656/" w:history="1">
        <w:r w:rsidRPr="00E17EA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СП 2.4.3648-20</w:t>
        </w:r>
      </w:hyperlink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2E50C8" w:rsidRPr="00041B11" w:rsidRDefault="002E50C8" w:rsidP="005D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6B3327" w:rsidRPr="00041B11" w:rsidRDefault="006B3327" w:rsidP="0004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327" w:rsidRPr="00041B11" w:rsidSect="006B33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CAD"/>
    <w:multiLevelType w:val="hybridMultilevel"/>
    <w:tmpl w:val="BFB8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0CB"/>
    <w:multiLevelType w:val="multilevel"/>
    <w:tmpl w:val="B56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6F2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4CF"/>
    <w:multiLevelType w:val="multilevel"/>
    <w:tmpl w:val="0B2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F6C2B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593A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80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F671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586E"/>
    <w:multiLevelType w:val="multilevel"/>
    <w:tmpl w:val="8AA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22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27DB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60A0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44E8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52DD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1273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0CDF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018E2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B37EA"/>
    <w:multiLevelType w:val="multilevel"/>
    <w:tmpl w:val="71C2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7B13"/>
    <w:multiLevelType w:val="multilevel"/>
    <w:tmpl w:val="D83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A741C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D9012A"/>
    <w:multiLevelType w:val="multilevel"/>
    <w:tmpl w:val="9726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1405C9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30E5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D0C99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B0027B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B7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A4D15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4482A"/>
    <w:multiLevelType w:val="multilevel"/>
    <w:tmpl w:val="838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73961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F6FD0"/>
    <w:multiLevelType w:val="multilevel"/>
    <w:tmpl w:val="845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86FAC"/>
    <w:multiLevelType w:val="multilevel"/>
    <w:tmpl w:val="D67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94BD1"/>
    <w:multiLevelType w:val="multilevel"/>
    <w:tmpl w:val="A1D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3A47C8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B529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F63E3"/>
    <w:multiLevelType w:val="multilevel"/>
    <w:tmpl w:val="9ED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101B5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A40"/>
    <w:multiLevelType w:val="multilevel"/>
    <w:tmpl w:val="635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A7848"/>
    <w:multiLevelType w:val="multilevel"/>
    <w:tmpl w:val="80B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0359E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1326"/>
    <w:multiLevelType w:val="hybridMultilevel"/>
    <w:tmpl w:val="B868F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34"/>
  </w:num>
  <w:num w:numId="5">
    <w:abstractNumId w:val="14"/>
  </w:num>
  <w:num w:numId="6">
    <w:abstractNumId w:val="39"/>
  </w:num>
  <w:num w:numId="7">
    <w:abstractNumId w:val="5"/>
  </w:num>
  <w:num w:numId="8">
    <w:abstractNumId w:val="12"/>
  </w:num>
  <w:num w:numId="9">
    <w:abstractNumId w:val="26"/>
  </w:num>
  <w:num w:numId="10">
    <w:abstractNumId w:val="25"/>
  </w:num>
  <w:num w:numId="11">
    <w:abstractNumId w:val="29"/>
  </w:num>
  <w:num w:numId="12">
    <w:abstractNumId w:val="8"/>
  </w:num>
  <w:num w:numId="13">
    <w:abstractNumId w:val="2"/>
  </w:num>
  <w:num w:numId="14">
    <w:abstractNumId w:val="36"/>
  </w:num>
  <w:num w:numId="15">
    <w:abstractNumId w:val="11"/>
  </w:num>
  <w:num w:numId="16">
    <w:abstractNumId w:val="4"/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27"/>
  </w:num>
  <w:num w:numId="23">
    <w:abstractNumId w:val="33"/>
  </w:num>
  <w:num w:numId="24">
    <w:abstractNumId w:val="31"/>
  </w:num>
  <w:num w:numId="25">
    <w:abstractNumId w:val="38"/>
  </w:num>
  <w:num w:numId="26">
    <w:abstractNumId w:val="1"/>
  </w:num>
  <w:num w:numId="27">
    <w:abstractNumId w:val="9"/>
  </w:num>
  <w:num w:numId="28">
    <w:abstractNumId w:val="35"/>
  </w:num>
  <w:num w:numId="29">
    <w:abstractNumId w:val="18"/>
  </w:num>
  <w:num w:numId="30">
    <w:abstractNumId w:val="21"/>
  </w:num>
  <w:num w:numId="31">
    <w:abstractNumId w:val="19"/>
  </w:num>
  <w:num w:numId="32">
    <w:abstractNumId w:val="28"/>
  </w:num>
  <w:num w:numId="33">
    <w:abstractNumId w:val="30"/>
  </w:num>
  <w:num w:numId="34">
    <w:abstractNumId w:val="3"/>
  </w:num>
  <w:num w:numId="35">
    <w:abstractNumId w:val="32"/>
  </w:num>
  <w:num w:numId="36">
    <w:abstractNumId w:val="37"/>
  </w:num>
  <w:num w:numId="37">
    <w:abstractNumId w:val="40"/>
  </w:num>
  <w:num w:numId="38">
    <w:abstractNumId w:val="10"/>
  </w:num>
  <w:num w:numId="39">
    <w:abstractNumId w:val="6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C3"/>
    <w:rsid w:val="00032C79"/>
    <w:rsid w:val="00041B11"/>
    <w:rsid w:val="00044A60"/>
    <w:rsid w:val="000E0923"/>
    <w:rsid w:val="000E61B3"/>
    <w:rsid w:val="00151005"/>
    <w:rsid w:val="001517F5"/>
    <w:rsid w:val="002E50C8"/>
    <w:rsid w:val="00304FC3"/>
    <w:rsid w:val="003A1F5E"/>
    <w:rsid w:val="003A2B88"/>
    <w:rsid w:val="004D26A6"/>
    <w:rsid w:val="004D2E84"/>
    <w:rsid w:val="004E7AE5"/>
    <w:rsid w:val="005376A3"/>
    <w:rsid w:val="005D27F0"/>
    <w:rsid w:val="006B3327"/>
    <w:rsid w:val="00781B36"/>
    <w:rsid w:val="00782CBB"/>
    <w:rsid w:val="0083064D"/>
    <w:rsid w:val="008F3E95"/>
    <w:rsid w:val="009749C0"/>
    <w:rsid w:val="00991DE8"/>
    <w:rsid w:val="009B40D6"/>
    <w:rsid w:val="00A17EB6"/>
    <w:rsid w:val="00AC28F1"/>
    <w:rsid w:val="00BA76C7"/>
    <w:rsid w:val="00BF7F4C"/>
    <w:rsid w:val="00C24114"/>
    <w:rsid w:val="00D05E50"/>
    <w:rsid w:val="00D676A1"/>
    <w:rsid w:val="00D968E0"/>
    <w:rsid w:val="00E17EA3"/>
    <w:rsid w:val="00E448C0"/>
    <w:rsid w:val="00EE3E68"/>
    <w:rsid w:val="00F4103C"/>
    <w:rsid w:val="00FB48EC"/>
    <w:rsid w:val="00FB768E"/>
    <w:rsid w:val="00FC6E55"/>
    <w:rsid w:val="00FD16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E264"/>
  <w15:docId w15:val="{29A01395-6240-432E-9784-0054857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E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E50C8"/>
  </w:style>
  <w:style w:type="character" w:customStyle="1" w:styleId="sfwc">
    <w:name w:val="sfwc"/>
    <w:basedOn w:val="a0"/>
    <w:rsid w:val="002E50C8"/>
  </w:style>
  <w:style w:type="character" w:customStyle="1" w:styleId="tooltippoint">
    <w:name w:val="tooltip__point"/>
    <w:basedOn w:val="a0"/>
    <w:rsid w:val="002E50C8"/>
  </w:style>
  <w:style w:type="character" w:customStyle="1" w:styleId="tooltiptext">
    <w:name w:val="tooltip_text"/>
    <w:basedOn w:val="a0"/>
    <w:rsid w:val="002E50C8"/>
  </w:style>
  <w:style w:type="character" w:styleId="a6">
    <w:name w:val="Strong"/>
    <w:basedOn w:val="a0"/>
    <w:uiPriority w:val="22"/>
    <w:qFormat/>
    <w:rsid w:val="002E50C8"/>
    <w:rPr>
      <w:b/>
      <w:bCs/>
    </w:rPr>
  </w:style>
  <w:style w:type="character" w:styleId="a7">
    <w:name w:val="Hyperlink"/>
    <w:basedOn w:val="a0"/>
    <w:uiPriority w:val="99"/>
    <w:semiHidden/>
    <w:unhideWhenUsed/>
    <w:rsid w:val="002E50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50C8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2E50C8"/>
  </w:style>
  <w:style w:type="character" w:customStyle="1" w:styleId="recommendations-v4-imagewrapper">
    <w:name w:val="recommendations-v4-image__wrapper"/>
    <w:basedOn w:val="a0"/>
    <w:rsid w:val="002E50C8"/>
  </w:style>
  <w:style w:type="character" w:customStyle="1" w:styleId="Bodytext2">
    <w:name w:val="Body text (2)_"/>
    <w:link w:val="Bodytext20"/>
    <w:rsid w:val="00044A6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4A60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4</cp:revision>
  <cp:lastPrinted>2021-11-25T13:18:00Z</cp:lastPrinted>
  <dcterms:created xsi:type="dcterms:W3CDTF">2022-04-18T17:34:00Z</dcterms:created>
  <dcterms:modified xsi:type="dcterms:W3CDTF">2022-04-18T17:36:00Z</dcterms:modified>
</cp:coreProperties>
</file>